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C4" w:rsidRDefault="00DE19C4" w:rsidP="00430DE7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0</wp:posOffset>
            </wp:positionV>
            <wp:extent cx="6082665" cy="18046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804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9C4" w:rsidRDefault="00DE19C4" w:rsidP="00DE19C4">
      <w:pPr>
        <w:ind w:right="23"/>
        <w:jc w:val="center"/>
        <w:rPr>
          <w:rFonts w:ascii="Liberation Sans" w:hAnsi="Liberation Sans" w:cs="Arial"/>
          <w:b/>
          <w:sz w:val="20"/>
          <w:szCs w:val="20"/>
        </w:rPr>
      </w:pPr>
      <w:r>
        <w:rPr>
          <w:rFonts w:ascii="Liberation Sans" w:hAnsi="Liberation Sans" w:cs="Arial"/>
          <w:b/>
          <w:sz w:val="20"/>
          <w:szCs w:val="20"/>
        </w:rPr>
        <w:t>LE FONDS EUROPEEN POUR LES AFFAIRES MARITIMES ET LA PÊCHE</w:t>
      </w:r>
    </w:p>
    <w:p w:rsidR="00DE19C4" w:rsidRDefault="00DE19C4" w:rsidP="00DE19C4">
      <w:pPr>
        <w:ind w:right="23"/>
        <w:jc w:val="center"/>
        <w:rPr>
          <w:rFonts w:ascii="Liberation Sans" w:hAnsi="Liberation Sans" w:cs="Arial"/>
          <w:b/>
          <w:sz w:val="20"/>
          <w:szCs w:val="20"/>
        </w:rPr>
      </w:pPr>
      <w:r>
        <w:rPr>
          <w:rFonts w:ascii="Liberation Sans" w:hAnsi="Liberation Sans" w:cs="Arial"/>
          <w:b/>
          <w:sz w:val="20"/>
          <w:szCs w:val="20"/>
        </w:rPr>
        <w:t>Résumé à l’attention des citoyens</w:t>
      </w:r>
    </w:p>
    <w:p w:rsidR="00DE19C4" w:rsidRDefault="00DE19C4" w:rsidP="00DE19C4">
      <w:pPr>
        <w:ind w:right="23"/>
        <w:jc w:val="center"/>
        <w:rPr>
          <w:rFonts w:ascii="Liberation Sans" w:hAnsi="Liberation Sans" w:cs="Arial"/>
          <w:b/>
          <w:sz w:val="20"/>
          <w:szCs w:val="20"/>
        </w:rPr>
      </w:pPr>
      <w:r>
        <w:rPr>
          <w:rFonts w:ascii="Liberation Sans" w:hAnsi="Liberation Sans" w:cs="Arial"/>
          <w:b/>
          <w:sz w:val="20"/>
          <w:szCs w:val="20"/>
        </w:rPr>
        <w:t>Actions réalisées en 2018</w:t>
      </w:r>
    </w:p>
    <w:p w:rsidR="00DE19C4" w:rsidRDefault="00DE19C4" w:rsidP="002F09B6">
      <w:pPr>
        <w:jc w:val="both"/>
        <w:rPr>
          <w:b/>
          <w:u w:val="single"/>
        </w:rPr>
      </w:pPr>
    </w:p>
    <w:p w:rsidR="00430DE7" w:rsidRDefault="00430DE7" w:rsidP="002F09B6">
      <w:pPr>
        <w:jc w:val="both"/>
      </w:pPr>
      <w:r>
        <w:t xml:space="preserve">Créé en 2014, le Fonds Européen pour les Affaires Maritimes et la Pêche (FEAMP) a pour objet d’encourager les transitions et l’exploitation durable des ressources marines. Fort d’un important travail de simplification et d’un accompagnement accru des professionnels, le FEAMP a connu en 2018 sa première année de </w:t>
      </w:r>
      <w:r w:rsidRPr="005C4DD3">
        <w:rPr>
          <w:b/>
        </w:rPr>
        <w:t>fonctionnement « à plein régime ».</w:t>
      </w:r>
      <w:r>
        <w:t xml:space="preserve"> Et les résultats ont été au rendez-vous : les paiements ont en effet atteint </w:t>
      </w:r>
      <w:r w:rsidRPr="005C4DD3">
        <w:rPr>
          <w:b/>
        </w:rPr>
        <w:t>un total de 124,5 millions d’euros au 31/12/2018.</w:t>
      </w:r>
    </w:p>
    <w:p w:rsidR="00430DE7" w:rsidRDefault="00430DE7" w:rsidP="002F09B6">
      <w:pPr>
        <w:jc w:val="both"/>
      </w:pPr>
      <w:r>
        <w:t xml:space="preserve">Fruits de la mobilisation de l’ensemble des acteurs nationaux et régionaux, </w:t>
      </w:r>
      <w:r w:rsidRPr="005C4DD3">
        <w:rPr>
          <w:b/>
        </w:rPr>
        <w:t>la France atteint l’objectif</w:t>
      </w:r>
      <w:r>
        <w:t xml:space="preserve"> qui lui était assigné par la Commission Européenne pour 2018, et évite ainsi de perdre une partie de son enveloppe de crédits européens (le « dégagement d’office »). </w:t>
      </w:r>
    </w:p>
    <w:p w:rsidR="00430DE7" w:rsidRDefault="00430DE7" w:rsidP="002F09B6">
      <w:pPr>
        <w:jc w:val="both"/>
      </w:pPr>
      <w:r>
        <w:t xml:space="preserve">Pour ce faire, la Direction des pêches maritimes et de l’aquaculture (DPMA), en tant qu’autorité de gestion et en lien étroit avec l’ensemble des services instructeurs </w:t>
      </w:r>
      <w:r w:rsidRPr="00430DE7">
        <w:t>(</w:t>
      </w:r>
      <w:proofErr w:type="spellStart"/>
      <w:r w:rsidRPr="00430DE7">
        <w:fldChar w:fldCharType="begin"/>
      </w:r>
      <w:r w:rsidRPr="00430DE7">
        <w:instrText xml:space="preserve"> HYPERLINK "http://www.franceagrimer.fr/" \o "FranceAgriMer (Nouvelle fenêtre)" \t "_blank" </w:instrText>
      </w:r>
      <w:r w:rsidRPr="00430DE7">
        <w:fldChar w:fldCharType="separate"/>
      </w:r>
      <w:r w:rsidRPr="00430DE7">
        <w:rPr>
          <w:rStyle w:val="Lienhypertexte"/>
          <w:color w:val="auto"/>
          <w:u w:val="none"/>
        </w:rPr>
        <w:t>FranceAgriMer</w:t>
      </w:r>
      <w:proofErr w:type="spellEnd"/>
      <w:r w:rsidRPr="00430DE7">
        <w:fldChar w:fldCharType="end"/>
      </w:r>
      <w:r w:rsidRPr="00430DE7">
        <w:t>, les Directions inter-régionales de la mer, les services des Conseils régionaux) et l’</w:t>
      </w:r>
      <w:hyperlink r:id="rId5" w:tgtFrame="_blank" w:tooltip="agence de services et de paiement (Nouvelle fenêtre)" w:history="1">
        <w:r w:rsidRPr="00430DE7">
          <w:rPr>
            <w:rStyle w:val="Lienhypertexte"/>
            <w:color w:val="auto"/>
            <w:u w:val="none"/>
          </w:rPr>
          <w:t>agence de services et de paiement</w:t>
        </w:r>
      </w:hyperlink>
      <w:r w:rsidRPr="00430DE7">
        <w:t xml:space="preserve"> </w:t>
      </w:r>
      <w:r>
        <w:t>(ASP), a mis en œuvre un ensemble de mesures de simplification afin de réduire la charge administrative pour les porteurs de projets comme pour les services instructeurs.</w:t>
      </w:r>
    </w:p>
    <w:p w:rsidR="00430DE7" w:rsidRDefault="00430DE7" w:rsidP="002F09B6">
      <w:pPr>
        <w:jc w:val="both"/>
      </w:pPr>
      <w:r>
        <w:t xml:space="preserve">Le niveau des paiements en France se situe dans la moyenne européenne (17%). Les paiements se concentrent majoritairement sur des mesures bénéficiant directement aux acteurs économiques, avec des effets concrets. </w:t>
      </w:r>
      <w:r w:rsidRPr="005C4DD3">
        <w:rPr>
          <w:b/>
        </w:rPr>
        <w:t>Ce sont ainsi 79 M€ qui ont été injectés directement dans les circuits économiques de la pêche et de l’aquaculture pour financer des investissements productifs</w:t>
      </w:r>
      <w:r>
        <w:t>, notamment en faveur des exploitations d’aquaculture et de la transformation des produits de la pêche et de l’aquaculture.</w:t>
      </w:r>
    </w:p>
    <w:p w:rsidR="00430DE7" w:rsidRDefault="00430DE7" w:rsidP="002F09B6">
      <w:pPr>
        <w:pStyle w:val="NormalWeb"/>
        <w:jc w:val="both"/>
        <w:rPr>
          <w:rFonts w:asciiTheme="minorHAnsi" w:hAnsiTheme="minorHAnsi" w:cstheme="minorHAnsi"/>
          <w:sz w:val="22"/>
        </w:rPr>
      </w:pPr>
      <w:r w:rsidRPr="005C4DD3">
        <w:rPr>
          <w:rFonts w:asciiTheme="minorHAnsi" w:hAnsiTheme="minorHAnsi" w:cstheme="minorHAnsi"/>
          <w:b/>
          <w:sz w:val="22"/>
        </w:rPr>
        <w:t>La France bénéficie d'une enveloppe de 588 millions d'euros de crédits européens</w:t>
      </w:r>
      <w:r w:rsidRPr="00430DE7">
        <w:rPr>
          <w:rFonts w:asciiTheme="minorHAnsi" w:hAnsiTheme="minorHAnsi" w:cstheme="minorHAnsi"/>
          <w:sz w:val="22"/>
        </w:rPr>
        <w:t xml:space="preserve"> (sur les 5,8 milliards d’euros totaux au niveau européen), auxquels viennent s'ajouter 186 millions de crédits nationaux et régionaux. L’effet levier du FEAMP est important : </w:t>
      </w:r>
      <w:r w:rsidRPr="005C4DD3">
        <w:rPr>
          <w:rFonts w:asciiTheme="minorHAnsi" w:hAnsiTheme="minorHAnsi" w:cstheme="minorHAnsi"/>
          <w:b/>
          <w:sz w:val="22"/>
        </w:rPr>
        <w:t>1 € de crédits nationaux permet en effet de mobiliser 3 € de crédits européens.</w:t>
      </w:r>
    </w:p>
    <w:p w:rsidR="002F09B6" w:rsidRPr="00430DE7" w:rsidRDefault="00430DE7" w:rsidP="002F09B6">
      <w:pPr>
        <w:pStyle w:val="NormalWeb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Par ailleurs, </w:t>
      </w:r>
      <w:r w:rsidRPr="005C4DD3">
        <w:rPr>
          <w:rFonts w:asciiTheme="minorHAnsi" w:hAnsiTheme="minorHAnsi" w:cstheme="minorHAnsi"/>
          <w:b/>
          <w:sz w:val="22"/>
        </w:rPr>
        <w:t>la DPMA est elle-même bénéficiaire du dispositif FEAMP au titre de la mesure Assistance Technique</w:t>
      </w:r>
      <w:r>
        <w:rPr>
          <w:rFonts w:asciiTheme="minorHAnsi" w:hAnsiTheme="minorHAnsi" w:cstheme="minorHAnsi"/>
          <w:sz w:val="22"/>
        </w:rPr>
        <w:t xml:space="preserve">. Cette mesure a pour objectif de financer des actions facilitant la mise en œuvre et la gestion du FEAMP. </w:t>
      </w:r>
      <w:r w:rsidR="002F09B6">
        <w:rPr>
          <w:rFonts w:asciiTheme="minorHAnsi" w:hAnsiTheme="minorHAnsi" w:cstheme="minorHAnsi"/>
          <w:sz w:val="22"/>
        </w:rPr>
        <w:t>A cet effet, la DPMA finance les actions de l’ASP dans le cadre de la mise en œuvre de l’applicatif OSIRIS et des paiements qui surviennent après l’engagement des dossiers</w:t>
      </w:r>
      <w:bookmarkStart w:id="0" w:name="_GoBack"/>
      <w:bookmarkEnd w:id="0"/>
      <w:r w:rsidR="002F09B6">
        <w:rPr>
          <w:rFonts w:asciiTheme="minorHAnsi" w:hAnsiTheme="minorHAnsi" w:cstheme="minorHAnsi"/>
          <w:sz w:val="22"/>
        </w:rPr>
        <w:t xml:space="preserve">. De même, la DPMA finance l’externalisation les audits « systèmes » afin de s’assurer et de sécuriser les </w:t>
      </w:r>
      <w:r w:rsidR="002F09B6">
        <w:rPr>
          <w:rFonts w:asciiTheme="minorHAnsi" w:hAnsiTheme="minorHAnsi" w:cstheme="minorHAnsi"/>
          <w:sz w:val="22"/>
        </w:rPr>
        <w:lastRenderedPageBreak/>
        <w:t xml:space="preserve">opérations et le dispositif FEAMP. A ce jour, une dizaine d’audit a été financés au titre de l’assistance technique. </w:t>
      </w:r>
    </w:p>
    <w:p w:rsidR="00430DE7" w:rsidRPr="005C4DD3" w:rsidRDefault="00430DE7" w:rsidP="002F09B6">
      <w:pPr>
        <w:pStyle w:val="NormalWeb"/>
        <w:jc w:val="both"/>
        <w:rPr>
          <w:rFonts w:asciiTheme="minorHAnsi" w:hAnsiTheme="minorHAnsi" w:cstheme="minorHAnsi"/>
          <w:b/>
          <w:sz w:val="22"/>
        </w:rPr>
      </w:pPr>
      <w:r w:rsidRPr="005C4DD3">
        <w:rPr>
          <w:rFonts w:asciiTheme="minorHAnsi" w:hAnsiTheme="minorHAnsi" w:cstheme="minorHAnsi"/>
          <w:b/>
          <w:sz w:val="22"/>
        </w:rPr>
        <w:t>Au regard des engagements juridiques déjà pris, le potentiel de paiements reste élevé sur les prochains mois</w:t>
      </w:r>
      <w:r w:rsidR="00963922">
        <w:rPr>
          <w:rFonts w:asciiTheme="minorHAnsi" w:hAnsiTheme="minorHAnsi" w:cstheme="minorHAnsi"/>
          <w:b/>
          <w:sz w:val="22"/>
        </w:rPr>
        <w:t xml:space="preserve"> offrant de belles perspectives au dispositif FEAMP</w:t>
      </w:r>
      <w:r w:rsidRPr="005C4DD3">
        <w:rPr>
          <w:rFonts w:asciiTheme="minorHAnsi" w:hAnsiTheme="minorHAnsi" w:cstheme="minorHAnsi"/>
          <w:b/>
          <w:sz w:val="22"/>
        </w:rPr>
        <w:t>. Des crédits sont encore disponibles pour invest</w:t>
      </w:r>
      <w:r w:rsidR="002F09B6" w:rsidRPr="005C4DD3">
        <w:rPr>
          <w:rFonts w:asciiTheme="minorHAnsi" w:hAnsiTheme="minorHAnsi" w:cstheme="minorHAnsi"/>
          <w:b/>
          <w:sz w:val="22"/>
        </w:rPr>
        <w:t>ir au sein de la filière.</w:t>
      </w:r>
    </w:p>
    <w:p w:rsidR="00430DE7" w:rsidRDefault="00430DE7" w:rsidP="00430DE7"/>
    <w:p w:rsidR="00DE19C4" w:rsidRPr="00430DE7" w:rsidRDefault="00DE19C4" w:rsidP="00430DE7">
      <w:r>
        <w:t xml:space="preserve">  </w:t>
      </w:r>
      <w:r>
        <w:rPr>
          <w:rFonts w:ascii="Liberation Sans" w:hAnsi="Liberation Sans" w:cs="Liberation Sans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895350" cy="1143000"/>
            <wp:effectExtent l="0" t="0" r="0" b="0"/>
            <wp:docPr id="2" name="Image 2" descr="Logo_M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rFonts w:ascii="Liberation Sans" w:hAnsi="Liberation Sans" w:cs="Liberation Sans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1209675" cy="942975"/>
            <wp:effectExtent l="0" t="0" r="9525" b="9525"/>
            <wp:docPr id="3" name="Image 3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Liberation Sans" w:hAnsi="Liberation Sans" w:cs="Liberation Sans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1800225" cy="1047750"/>
            <wp:effectExtent l="0" t="0" r="9525" b="0"/>
            <wp:docPr id="4" name="Image 4" descr="Logo_l'Europe s'engage FE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l'Europe s'engage FEA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9C4" w:rsidRPr="0043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7"/>
    <w:rsid w:val="000D074A"/>
    <w:rsid w:val="002F09B6"/>
    <w:rsid w:val="00430DE7"/>
    <w:rsid w:val="005A68FF"/>
    <w:rsid w:val="005C4DD3"/>
    <w:rsid w:val="00963922"/>
    <w:rsid w:val="00D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D26B"/>
  <w15:chartTrackingRefBased/>
  <w15:docId w15:val="{EE725DFB-92A5-4EE7-B27D-BB40186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0D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0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asp-public.f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BARBOSA DE AMORIM Pauline</dc:creator>
  <cp:keywords/>
  <dc:description/>
  <cp:lastModifiedBy>DANNEELS Cécile</cp:lastModifiedBy>
  <cp:revision>5</cp:revision>
  <dcterms:created xsi:type="dcterms:W3CDTF">2019-03-04T09:42:00Z</dcterms:created>
  <dcterms:modified xsi:type="dcterms:W3CDTF">2019-03-07T18:16:00Z</dcterms:modified>
</cp:coreProperties>
</file>